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9A256" w14:textId="77777777" w:rsidR="00E57808" w:rsidRPr="00BB0E89" w:rsidRDefault="00E57808" w:rsidP="00E57808">
      <w:pPr>
        <w:jc w:val="right"/>
      </w:pPr>
      <w:r w:rsidRPr="00BB0E89">
        <w:t>KINNITATUD</w:t>
      </w:r>
    </w:p>
    <w:p w14:paraId="2AD5AB77" w14:textId="77777777" w:rsidR="00E57808" w:rsidRPr="00BB0E89" w:rsidRDefault="00E57808" w:rsidP="00E57808">
      <w:pPr>
        <w:jc w:val="right"/>
      </w:pPr>
      <w:r w:rsidRPr="00BB0E89">
        <w:t xml:space="preserve">RMK õigus- ja hangete osakonna </w:t>
      </w:r>
    </w:p>
    <w:p w14:paraId="621FAF1F" w14:textId="77777777" w:rsidR="00E57808" w:rsidRPr="00BB0E89" w:rsidRDefault="00E57808" w:rsidP="00E57808">
      <w:pPr>
        <w:jc w:val="right"/>
      </w:pPr>
      <w:r w:rsidRPr="00BB0E89">
        <w:t xml:space="preserve">juhataja  </w:t>
      </w:r>
    </w:p>
    <w:p w14:paraId="748E2F9F" w14:textId="56270A81" w:rsidR="00E57808" w:rsidRPr="00BB0E89" w:rsidRDefault="00E57808" w:rsidP="00E57808">
      <w:pPr>
        <w:jc w:val="right"/>
      </w:pPr>
      <w:r w:rsidRPr="00BB0E89">
        <w:t xml:space="preserve">käskkirjaga nr </w:t>
      </w:r>
      <w:r w:rsidR="00901922" w:rsidRPr="00901922">
        <w:t>1-47.3474</w:t>
      </w:r>
      <w:r w:rsidR="000D6341">
        <w:t>/1</w:t>
      </w:r>
    </w:p>
    <w:p w14:paraId="0DC5CE2B" w14:textId="77777777" w:rsidR="00E57808" w:rsidRPr="00BB0E89" w:rsidRDefault="00E57808" w:rsidP="00E57808">
      <w:pPr>
        <w:jc w:val="both"/>
        <w:rPr>
          <w:b/>
          <w:bCs/>
        </w:rPr>
      </w:pPr>
    </w:p>
    <w:p w14:paraId="7882EE35" w14:textId="77777777" w:rsidR="00E57808" w:rsidRDefault="00E57808" w:rsidP="00E57808">
      <w:pPr>
        <w:jc w:val="both"/>
        <w:rPr>
          <w:b/>
          <w:bCs/>
        </w:rPr>
      </w:pPr>
    </w:p>
    <w:p w14:paraId="51F955FF" w14:textId="77777777" w:rsidR="00E57808" w:rsidRPr="00BB0E89" w:rsidRDefault="00E57808" w:rsidP="00E57808">
      <w:pPr>
        <w:jc w:val="both"/>
      </w:pPr>
      <w:r>
        <w:rPr>
          <w:b/>
          <w:bCs/>
        </w:rPr>
        <w:t>Ettepanek pidada läbirääkimisi</w:t>
      </w:r>
      <w:r w:rsidRPr="00BB0E89">
        <w:rPr>
          <w:b/>
          <w:bCs/>
        </w:rPr>
        <w:t xml:space="preserve"> </w:t>
      </w:r>
      <w:r>
        <w:rPr>
          <w:b/>
          <w:bCs/>
        </w:rPr>
        <w:t>ja p</w:t>
      </w:r>
      <w:r w:rsidRPr="00BB0E89">
        <w:rPr>
          <w:b/>
          <w:bCs/>
        </w:rPr>
        <w:t>akkumuse esitamise ettepanek</w:t>
      </w:r>
      <w:r>
        <w:rPr>
          <w:b/>
          <w:bCs/>
        </w:rPr>
        <w:t xml:space="preserve"> </w:t>
      </w:r>
    </w:p>
    <w:p w14:paraId="65650375" w14:textId="77777777" w:rsidR="00E57808" w:rsidRDefault="00E57808" w:rsidP="00E57808">
      <w:pPr>
        <w:jc w:val="both"/>
      </w:pPr>
    </w:p>
    <w:p w14:paraId="35AF425E" w14:textId="77777777" w:rsidR="0036293D" w:rsidRDefault="00E57808" w:rsidP="0036293D">
      <w:pPr>
        <w:jc w:val="both"/>
      </w:pPr>
      <w:r w:rsidRPr="00BB0E89">
        <w:t xml:space="preserve">Hankija Riigimetsa Majandamise Keskus teeb </w:t>
      </w:r>
      <w:r>
        <w:t xml:space="preserve">vastavalt RHS §-le 72 MAGNEOTÜÜPIA MTÜ-le, registrikoodiga </w:t>
      </w:r>
      <w:r w:rsidRPr="0081729A">
        <w:t>80587350</w:t>
      </w:r>
      <w:r>
        <w:t xml:space="preserve"> (edaspidi kaasatud pakkuja), </w:t>
      </w:r>
      <w:r w:rsidRPr="00BB0E89">
        <w:t xml:space="preserve">ettepaneku </w:t>
      </w:r>
      <w:r>
        <w:t xml:space="preserve">pidada läbirääkimisi ja </w:t>
      </w:r>
      <w:r w:rsidRPr="00BB0E89">
        <w:t xml:space="preserve">esitada pakkumus </w:t>
      </w:r>
      <w:r>
        <w:t>RHS § 49 lg 1 p 2 alusel läbi viidavas väljakuulutamiseta läbirääkimistega</w:t>
      </w:r>
      <w:r w:rsidRPr="00BB0E89">
        <w:t xml:space="preserve"> hankemenetluses </w:t>
      </w:r>
      <w:r w:rsidR="0036293D">
        <w:t>Interaktiivne skulptuur „Veealused“ ostmine ja paigaldamine</w:t>
      </w:r>
    </w:p>
    <w:p w14:paraId="6F4287F4" w14:textId="1F91EB0A" w:rsidR="00E57808" w:rsidRPr="00BB0E89" w:rsidRDefault="0036293D" w:rsidP="0036293D">
      <w:pPr>
        <w:jc w:val="both"/>
      </w:pPr>
      <w:r>
        <w:t>Viitenumber: 299088</w:t>
      </w:r>
      <w:r w:rsidR="00E57808" w:rsidRPr="00BB0E89">
        <w:t>) vastavalt riigihanke alusdokumentides (RHAD) esitatud tingimustele.</w:t>
      </w:r>
    </w:p>
    <w:p w14:paraId="66667D6C" w14:textId="77777777" w:rsidR="00E57808" w:rsidRPr="00BB0E89" w:rsidRDefault="00E57808" w:rsidP="00E57808">
      <w:pPr>
        <w:jc w:val="both"/>
      </w:pPr>
    </w:p>
    <w:p w14:paraId="04E673BA" w14:textId="77777777" w:rsidR="00E57808" w:rsidRPr="001A022A" w:rsidRDefault="00E57808" w:rsidP="00E57808">
      <w:pPr>
        <w:pStyle w:val="Pealkiri2"/>
        <w:keepLines w:val="0"/>
        <w:numPr>
          <w:ilvl w:val="0"/>
          <w:numId w:val="1"/>
        </w:numPr>
        <w:spacing w:before="0" w:after="0"/>
        <w:jc w:val="both"/>
        <w:rPr>
          <w:rFonts w:ascii="Times New Roman" w:hAnsi="Times New Roman" w:cs="Times New Roman"/>
          <w:b/>
          <w:bCs/>
          <w:sz w:val="24"/>
          <w:szCs w:val="24"/>
        </w:rPr>
      </w:pPr>
      <w:r w:rsidRPr="001A022A">
        <w:rPr>
          <w:rFonts w:ascii="Times New Roman" w:hAnsi="Times New Roman" w:cs="Times New Roman"/>
          <w:bCs/>
          <w:color w:val="auto"/>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Üldinfo</w:t>
      </w:r>
    </w:p>
    <w:p w14:paraId="17F251BB" w14:textId="7FE9DC90" w:rsidR="00E57808" w:rsidRDefault="00E57808" w:rsidP="00E57808">
      <w:pPr>
        <w:numPr>
          <w:ilvl w:val="1"/>
          <w:numId w:val="1"/>
        </w:numPr>
        <w:jc w:val="both"/>
      </w:pPr>
      <w:r w:rsidRPr="00BB0E89">
        <w:t xml:space="preserve">Hanke nimetus: </w:t>
      </w:r>
      <w:r w:rsidRPr="00E57808">
        <w:t>Interaktiivne skulptuur „Veealused“ ostmine ja paigaldamine</w:t>
      </w:r>
    </w:p>
    <w:p w14:paraId="46363E63" w14:textId="75176471" w:rsidR="00E57808" w:rsidRPr="00BB0E89" w:rsidRDefault="00E57808" w:rsidP="00E57808">
      <w:pPr>
        <w:numPr>
          <w:ilvl w:val="1"/>
          <w:numId w:val="1"/>
        </w:numPr>
        <w:jc w:val="both"/>
      </w:pPr>
      <w:r w:rsidRPr="00BB0E89">
        <w:t xml:space="preserve">Hanke viitenumber: </w:t>
      </w:r>
      <w:r w:rsidR="005F7A88" w:rsidRPr="005F7A88">
        <w:t>299088</w:t>
      </w:r>
    </w:p>
    <w:p w14:paraId="2A04326F" w14:textId="77777777" w:rsidR="00E57808" w:rsidRDefault="00E57808" w:rsidP="00E57808">
      <w:pPr>
        <w:numPr>
          <w:ilvl w:val="1"/>
          <w:numId w:val="1"/>
        </w:numPr>
        <w:jc w:val="both"/>
      </w:pPr>
      <w:r w:rsidRPr="00BB0E89">
        <w:t xml:space="preserve">Hanke eseme CPV-kood: </w:t>
      </w:r>
      <w:r w:rsidRPr="0081729A">
        <w:t>92311000-4 Kunstiteosed</w:t>
      </w:r>
    </w:p>
    <w:p w14:paraId="7E0F9753" w14:textId="77777777" w:rsidR="00E57808" w:rsidRDefault="00E57808" w:rsidP="00E57808">
      <w:pPr>
        <w:numPr>
          <w:ilvl w:val="1"/>
          <w:numId w:val="1"/>
        </w:numPr>
        <w:jc w:val="both"/>
      </w:pPr>
      <w:r w:rsidRPr="00BB0E89">
        <w:t>Hank</w:t>
      </w:r>
      <w:r>
        <w:t xml:space="preserve">ija viib </w:t>
      </w:r>
      <w:r w:rsidRPr="00CF6157">
        <w:t xml:space="preserve">läbi väljakuulutamiseta läbirääkimistega hankemenetluse RHS § 49 lg </w:t>
      </w:r>
      <w:r>
        <w:t>1 p 2</w:t>
      </w:r>
      <w:r w:rsidRPr="00CF6157">
        <w:t xml:space="preserve"> alusel, </w:t>
      </w:r>
      <w:r>
        <w:t xml:space="preserve">kunstiteose ostmiseks. </w:t>
      </w:r>
    </w:p>
    <w:p w14:paraId="372D4489" w14:textId="5BC267B5" w:rsidR="00E57808" w:rsidRDefault="00E57808" w:rsidP="005329D3">
      <w:pPr>
        <w:numPr>
          <w:ilvl w:val="1"/>
          <w:numId w:val="1"/>
        </w:numPr>
        <w:jc w:val="both"/>
      </w:pPr>
      <w:r w:rsidRPr="001A0F41">
        <w:t xml:space="preserve">Hanke eesmärgiks on osta </w:t>
      </w:r>
      <w:r w:rsidR="00F2727A">
        <w:t xml:space="preserve">interaktiivne skulptuur „Veealused“ RMK Soomaa külastuskeskuse </w:t>
      </w:r>
      <w:proofErr w:type="spellStart"/>
      <w:r w:rsidR="00F2727A">
        <w:t>õueala</w:t>
      </w:r>
      <w:proofErr w:type="spellEnd"/>
      <w:r w:rsidR="00F2727A">
        <w:t xml:space="preserve"> ja lähiümbruse informatiivsuse ja väljenduslikkuse rikastamiseks ning külastaja teadlikkuse tõstmiseks ja silmaringi avardamiseks. Jakob Kõrva lühijutu ja Jaan Tammsaare auhinnatud illustratsioonide  ainetel loodud interaktiivne skulptuur. Kahepoolne tootemi stiilis mahuline skulptuur, mis esitab </w:t>
      </w:r>
      <w:proofErr w:type="spellStart"/>
      <w:r w:rsidR="00F2727A">
        <w:t>lähenejatele</w:t>
      </w:r>
      <w:proofErr w:type="spellEnd"/>
      <w:r w:rsidR="00F2727A">
        <w:t xml:space="preserve"> 2,5 min jutu Veealuste legendist kohandatuna Soomaale</w:t>
      </w:r>
      <w:r>
        <w:t>.</w:t>
      </w:r>
      <w:r w:rsidR="005329D3" w:rsidRPr="005329D3">
        <w:t xml:space="preserve"> </w:t>
      </w:r>
      <w:r w:rsidR="005329D3">
        <w:t xml:space="preserve">Teksti autor ja </w:t>
      </w:r>
      <w:proofErr w:type="spellStart"/>
      <w:r w:rsidR="005329D3">
        <w:t>kohandaja</w:t>
      </w:r>
      <w:proofErr w:type="spellEnd"/>
      <w:r w:rsidR="005329D3">
        <w:t xml:space="preserve"> </w:t>
      </w:r>
      <w:proofErr w:type="spellStart"/>
      <w:r w:rsidR="005329D3">
        <w:t>Andri</w:t>
      </w:r>
      <w:proofErr w:type="spellEnd"/>
      <w:r w:rsidR="005329D3">
        <w:t xml:space="preserve"> Luup. Skulptuur on hämaralülitiga valgustatud. Autoriõigustega kaitstud. Autorid Margus </w:t>
      </w:r>
      <w:proofErr w:type="spellStart"/>
      <w:r w:rsidR="005329D3">
        <w:t>Kontus</w:t>
      </w:r>
      <w:proofErr w:type="spellEnd"/>
      <w:r w:rsidR="005329D3">
        <w:t xml:space="preserve"> ja Indrek Leht. Materjalid; metallkarkass,  </w:t>
      </w:r>
      <w:proofErr w:type="spellStart"/>
      <w:r w:rsidR="005329D3">
        <w:t>penoplast</w:t>
      </w:r>
      <w:proofErr w:type="spellEnd"/>
      <w:r w:rsidR="005329D3">
        <w:t>, veekindel vineer. Tehniline lahendus: laserlõikus, liikumisanduriga audiosüsteem</w:t>
      </w:r>
      <w:r w:rsidR="001F3E01">
        <w:t>.</w:t>
      </w:r>
    </w:p>
    <w:p w14:paraId="2386D8A6" w14:textId="4A5C8F96" w:rsidR="005B4AF3" w:rsidRPr="000A0EF9" w:rsidRDefault="005B4AF3" w:rsidP="00A53052">
      <w:pPr>
        <w:numPr>
          <w:ilvl w:val="1"/>
          <w:numId w:val="1"/>
        </w:numPr>
        <w:jc w:val="both"/>
      </w:pPr>
      <w:r w:rsidRPr="000A0EF9">
        <w:t>Kõik skulptuuri paigalduse ja valmistamisega kaasnevad kulud (sh vajadusel ka projektid</w:t>
      </w:r>
      <w:r w:rsidR="0080065D" w:rsidRPr="000A0EF9">
        <w:t xml:space="preserve">, autoritasud </w:t>
      </w:r>
      <w:r w:rsidRPr="000A0EF9">
        <w:t xml:space="preserve"> ja vajaminevad kooskõlastused) kuuluvad lepingu töömahtu. Kõik teose paigaldamisega kaasnevad tööd (sh vajadusel </w:t>
      </w:r>
      <w:proofErr w:type="spellStart"/>
      <w:r w:rsidRPr="000A0EF9">
        <w:t>elektritööd</w:t>
      </w:r>
      <w:proofErr w:type="spellEnd"/>
      <w:r w:rsidRPr="000A0EF9">
        <w:t>, valgustuslahendused jm) kuuluvad lepinguliste tööde mahtu ning taastada tuleb teose asukoha ala esialgne olukord.</w:t>
      </w:r>
    </w:p>
    <w:p w14:paraId="53B9FC77" w14:textId="2D1E7CF0" w:rsidR="001F3E01" w:rsidRPr="000A0EF9" w:rsidRDefault="000522C2" w:rsidP="005329D3">
      <w:pPr>
        <w:numPr>
          <w:ilvl w:val="1"/>
          <w:numId w:val="1"/>
        </w:numPr>
        <w:jc w:val="both"/>
      </w:pPr>
      <w:r w:rsidRPr="000A0EF9">
        <w:t>Kasutatavad värvid/materjalid peavad olema ilmastikukindlad, teos peab taluma professionaalset hooldust.</w:t>
      </w:r>
    </w:p>
    <w:p w14:paraId="512D9A9E" w14:textId="7539A293" w:rsidR="00F2727A" w:rsidRDefault="00E57808" w:rsidP="00E57808">
      <w:pPr>
        <w:numPr>
          <w:ilvl w:val="1"/>
          <w:numId w:val="1"/>
        </w:numPr>
        <w:jc w:val="both"/>
      </w:pPr>
      <w:r>
        <w:t>T</w:t>
      </w:r>
      <w:r w:rsidR="005A4D8D">
        <w:t>ööde teostamise</w:t>
      </w:r>
      <w:r>
        <w:t xml:space="preserve"> tähtaeg:</w:t>
      </w:r>
      <w:r w:rsidR="00F2727A" w:rsidRPr="00F2727A">
        <w:t xml:space="preserve"> 20.10.25  </w:t>
      </w:r>
    </w:p>
    <w:p w14:paraId="65E44245" w14:textId="632658E8" w:rsidR="00E57808" w:rsidRPr="00BB0E89" w:rsidRDefault="00E57808" w:rsidP="00E57808">
      <w:pPr>
        <w:numPr>
          <w:ilvl w:val="1"/>
          <w:numId w:val="1"/>
        </w:numPr>
        <w:jc w:val="both"/>
      </w:pPr>
      <w:r w:rsidRPr="00BB0E89">
        <w:t xml:space="preserve">Hange ei ole osadeks jagatud, kuivõrd </w:t>
      </w:r>
      <w:r>
        <w:t>hangitava toote olemusest ja hanke menetlusliigist tulenevalt tellitakse teenus eelvalitud kaasatud pakkujalt</w:t>
      </w:r>
      <w:r w:rsidRPr="00BB0E89">
        <w:t>.</w:t>
      </w:r>
    </w:p>
    <w:p w14:paraId="00CF49EE" w14:textId="77777777" w:rsidR="00E57808" w:rsidRPr="00BB0E89" w:rsidRDefault="00E57808" w:rsidP="00E57808">
      <w:pPr>
        <w:numPr>
          <w:ilvl w:val="1"/>
          <w:numId w:val="1"/>
        </w:numPr>
        <w:jc w:val="both"/>
      </w:pPr>
      <w:r w:rsidRPr="00BB0E89">
        <w:t>Hange viiakse läbi riigihangete registris (</w:t>
      </w:r>
      <w:proofErr w:type="spellStart"/>
      <w:r w:rsidRPr="00BB0E89">
        <w:t>eRHR</w:t>
      </w:r>
      <w:proofErr w:type="spellEnd"/>
      <w:r w:rsidRPr="00BB0E89">
        <w:t xml:space="preserve">) elektroonilise menetlusena. </w:t>
      </w:r>
    </w:p>
    <w:p w14:paraId="2B53E26A" w14:textId="77777777" w:rsidR="00E57808" w:rsidRPr="00BB0E89" w:rsidRDefault="00E57808" w:rsidP="00E57808">
      <w:pPr>
        <w:numPr>
          <w:ilvl w:val="1"/>
          <w:numId w:val="1"/>
        </w:numPr>
        <w:jc w:val="both"/>
      </w:pPr>
      <w:r w:rsidRPr="00BB0E89">
        <w:t xml:space="preserve">Pakkumus tuleb esitada elektrooniliselt </w:t>
      </w:r>
      <w:proofErr w:type="spellStart"/>
      <w:r w:rsidRPr="00BB0E89">
        <w:t>eRHRi</w:t>
      </w:r>
      <w:proofErr w:type="spellEnd"/>
      <w:r w:rsidRPr="00BB0E89">
        <w:t xml:space="preserve"> keskkonna kaudu aadressil https://riigihanked.riik.ee hanketeates toodud ajaks.</w:t>
      </w:r>
    </w:p>
    <w:p w14:paraId="4C21C3C4" w14:textId="77777777" w:rsidR="00E57808" w:rsidRPr="00BB0E89" w:rsidRDefault="00E57808" w:rsidP="00E57808">
      <w:pPr>
        <w:numPr>
          <w:ilvl w:val="1"/>
          <w:numId w:val="1"/>
        </w:numPr>
        <w:jc w:val="both"/>
      </w:pPr>
      <w:r w:rsidRPr="00BB0E89">
        <w:t xml:space="preserve">Kõik </w:t>
      </w:r>
      <w:r>
        <w:t>RHAD</w:t>
      </w:r>
      <w:r w:rsidRPr="00BB0E89">
        <w:t xml:space="preserve"> täiendavad üksteist. Mistahes dokumendis sätestatud kohustus, tingimus või nõue on pakkujale kohustuslik. </w:t>
      </w:r>
      <w:r>
        <w:t>RHAD</w:t>
      </w:r>
      <w:r w:rsidRPr="00BB0E89">
        <w:t xml:space="preserve"> koosne</w:t>
      </w:r>
      <w:r>
        <w:t>vad</w:t>
      </w:r>
      <w:r w:rsidRPr="00BB0E89">
        <w:t xml:space="preserve"> kõigist </w:t>
      </w:r>
      <w:proofErr w:type="spellStart"/>
      <w:r w:rsidRPr="00BB0E89">
        <w:t>eRHR</w:t>
      </w:r>
      <w:r>
        <w:t>is</w:t>
      </w:r>
      <w:proofErr w:type="spellEnd"/>
      <w:r w:rsidRPr="00BB0E89">
        <w:t xml:space="preserve"> käesoleva hanke raames </w:t>
      </w:r>
      <w:r>
        <w:t>kaasatud pakkujale kättesaadavaks tehtud</w:t>
      </w:r>
      <w:r w:rsidRPr="00BB0E89">
        <w:t xml:space="preserve"> ja viidatud dokumentidest. </w:t>
      </w:r>
      <w:r>
        <w:t>K</w:t>
      </w:r>
      <w:r w:rsidRPr="00BB0E89">
        <w:rPr>
          <w:lang w:eastAsia="ar-SA"/>
        </w:rPr>
        <w:t xml:space="preserve">ui </w:t>
      </w:r>
      <w:r>
        <w:rPr>
          <w:lang w:eastAsia="ar-SA"/>
        </w:rPr>
        <w:t xml:space="preserve">kaasatud pakkuja </w:t>
      </w:r>
      <w:r w:rsidRPr="00BB0E89">
        <w:rPr>
          <w:lang w:eastAsia="ar-SA"/>
        </w:rPr>
        <w:t xml:space="preserve">ei ole esitanud hankemenetluse käigus küsimusi </w:t>
      </w:r>
      <w:proofErr w:type="spellStart"/>
      <w:r>
        <w:rPr>
          <w:lang w:eastAsia="ar-SA"/>
        </w:rPr>
        <w:t>RHADs</w:t>
      </w:r>
      <w:proofErr w:type="spellEnd"/>
      <w:r w:rsidRPr="00BB0E89">
        <w:rPr>
          <w:lang w:eastAsia="ar-SA"/>
        </w:rPr>
        <w:t xml:space="preserve"> avastatud vastuolude, ebaselguste või puuduste kohta, on hankijal õigus hankelepingu sõlmimise ja täitmise käigus üleskerkinud vaidluste korral valida hankijale sobivam </w:t>
      </w:r>
      <w:r>
        <w:rPr>
          <w:lang w:eastAsia="ar-SA"/>
        </w:rPr>
        <w:t>RHAD</w:t>
      </w:r>
      <w:r w:rsidRPr="00BB0E89">
        <w:rPr>
          <w:lang w:eastAsia="ar-SA"/>
        </w:rPr>
        <w:t xml:space="preserve"> tõlgendus.</w:t>
      </w:r>
    </w:p>
    <w:p w14:paraId="46601194" w14:textId="77777777" w:rsidR="00E57808" w:rsidRPr="00BB0E89" w:rsidRDefault="00E57808" w:rsidP="00E57808">
      <w:pPr>
        <w:numPr>
          <w:ilvl w:val="1"/>
          <w:numId w:val="1"/>
        </w:numPr>
        <w:ind w:left="426" w:hanging="426"/>
        <w:jc w:val="both"/>
      </w:pPr>
      <w:r w:rsidRPr="00BB0E89">
        <w:t xml:space="preserve"> Kõik selgitused laekunud küsimustele ning muudatused </w:t>
      </w:r>
      <w:proofErr w:type="spellStart"/>
      <w:r>
        <w:t>RHAD</w:t>
      </w:r>
      <w:r w:rsidRPr="00BB0E89">
        <w:t>s</w:t>
      </w:r>
      <w:proofErr w:type="spellEnd"/>
      <w:r w:rsidRPr="00BB0E89">
        <w:t xml:space="preserve"> tehakse kättesaadavaks </w:t>
      </w:r>
      <w:proofErr w:type="spellStart"/>
      <w:r w:rsidRPr="00BB0E89">
        <w:t>eRHR</w:t>
      </w:r>
      <w:proofErr w:type="spellEnd"/>
      <w:r w:rsidRPr="00BB0E89">
        <w:t xml:space="preserve"> kaudu. Pärast teate avaldamist või dokumendi lisamist saadab </w:t>
      </w:r>
      <w:proofErr w:type="spellStart"/>
      <w:r w:rsidRPr="00BB0E89">
        <w:t>eRHRi</w:t>
      </w:r>
      <w:proofErr w:type="spellEnd"/>
      <w:r w:rsidRPr="00BB0E89">
        <w:t xml:space="preserve"> süsteem </w:t>
      </w:r>
      <w:r w:rsidRPr="00BB0E89">
        <w:lastRenderedPageBreak/>
        <w:t xml:space="preserve">automaatteavituse registreeritud isikutele. Samuti esitab hankija kõik otsused pakkujale </w:t>
      </w:r>
      <w:proofErr w:type="spellStart"/>
      <w:r w:rsidRPr="00BB0E89">
        <w:t>eRHR</w:t>
      </w:r>
      <w:proofErr w:type="spellEnd"/>
      <w:r w:rsidRPr="00BB0E89">
        <w:t xml:space="preserve"> süsteemi kaudu, mille lisamise kohta saadab </w:t>
      </w:r>
      <w:proofErr w:type="spellStart"/>
      <w:r w:rsidRPr="00BB0E89">
        <w:t>eRHRi</w:t>
      </w:r>
      <w:proofErr w:type="spellEnd"/>
      <w:r w:rsidRPr="00BB0E89">
        <w:t xml:space="preserve"> süsteem automaatteavituse.</w:t>
      </w:r>
    </w:p>
    <w:p w14:paraId="6E8F34FA" w14:textId="77777777" w:rsidR="00E57808" w:rsidRDefault="00E57808" w:rsidP="00E57808">
      <w:pPr>
        <w:numPr>
          <w:ilvl w:val="1"/>
          <w:numId w:val="1"/>
        </w:numPr>
        <w:jc w:val="both"/>
      </w:pPr>
      <w:r w:rsidRPr="00BB0E89">
        <w:t xml:space="preserve">Iga viidet, mille hankija teeb </w:t>
      </w:r>
      <w:proofErr w:type="spellStart"/>
      <w:r>
        <w:t>RHADs</w:t>
      </w:r>
      <w:proofErr w:type="spellEnd"/>
      <w:r w:rsidRPr="00BB0E8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t>RHADs</w:t>
      </w:r>
      <w:proofErr w:type="spellEnd"/>
      <w:r w:rsidRPr="00BB0E89">
        <w:t xml:space="preserve"> ostuallikale, protsessile, kaubamärgile, patendile, tüübile, päritolule või tootmisviisile (RHS § 88 lg 6) või märgisele (RHS § 89), tuleb lugeda selliselt, et see on täiendatud märkega „või sellega samaväärne“. Kui pakkuja soovib </w:t>
      </w:r>
      <w:r w:rsidRPr="001271D1">
        <w:t>kvalifitseerimise tingimustele või tehnilisele kirjelduse vastavuse tõendamiseks või hankele</w:t>
      </w:r>
      <w:r w:rsidRPr="00BB0E89">
        <w:t>pingu täitmisel kasutada samaväärset, siis ta näitab selle pakkumuses vabas vormis ära. Samaväärsuse kontrollimiseks esitab pakkuja vabas vormis selgitused ja tõendid.</w:t>
      </w:r>
    </w:p>
    <w:p w14:paraId="06F04F56" w14:textId="77777777" w:rsidR="00E57808" w:rsidRDefault="00E57808" w:rsidP="00E57808">
      <w:pPr>
        <w:jc w:val="both"/>
        <w:rPr>
          <w:b/>
          <w:bCs/>
        </w:rPr>
      </w:pPr>
    </w:p>
    <w:p w14:paraId="4C205B1A" w14:textId="77777777" w:rsidR="00E57808" w:rsidRPr="00BB0E89" w:rsidRDefault="00E57808" w:rsidP="00E57808">
      <w:pPr>
        <w:numPr>
          <w:ilvl w:val="0"/>
          <w:numId w:val="1"/>
        </w:numPr>
        <w:jc w:val="both"/>
        <w:rPr>
          <w:b/>
          <w:bCs/>
        </w:rPr>
      </w:pPr>
      <w:r w:rsidRPr="00BB0E89">
        <w:rPr>
          <w:b/>
          <w:bCs/>
        </w:rPr>
        <w:t>K</w:t>
      </w:r>
      <w:r>
        <w:rPr>
          <w:b/>
          <w:bCs/>
        </w:rPr>
        <w:t>õrvaldamise aluste kontrollimine ja k</w:t>
      </w:r>
      <w:r w:rsidRPr="00BB0E89">
        <w:rPr>
          <w:b/>
          <w:bCs/>
        </w:rPr>
        <w:t>valifitseerimistingimused</w:t>
      </w:r>
    </w:p>
    <w:p w14:paraId="1053CB84" w14:textId="77777777" w:rsidR="00E57808" w:rsidRDefault="00E57808" w:rsidP="00E57808">
      <w:pPr>
        <w:numPr>
          <w:ilvl w:val="1"/>
          <w:numId w:val="1"/>
        </w:numPr>
        <w:ind w:left="426" w:hanging="426"/>
        <w:jc w:val="both"/>
      </w:pPr>
      <w:r w:rsidRPr="00BB0E89">
        <w:t xml:space="preserve">Hankes seatud kvalifitseerimise tingimused on sätestatud </w:t>
      </w:r>
      <w:proofErr w:type="spellStart"/>
      <w:r w:rsidRPr="00BB0E89">
        <w:t>eRHRs</w:t>
      </w:r>
      <w:proofErr w:type="spellEnd"/>
      <w:r w:rsidRPr="00BB0E89">
        <w:t xml:space="preserve"> hankepassis.</w:t>
      </w:r>
    </w:p>
    <w:p w14:paraId="79B33CF9" w14:textId="77777777" w:rsidR="00E57808" w:rsidRDefault="00E57808" w:rsidP="00E57808">
      <w:pPr>
        <w:numPr>
          <w:ilvl w:val="1"/>
          <w:numId w:val="1"/>
        </w:numPr>
        <w:ind w:left="426" w:hanging="426"/>
        <w:jc w:val="both"/>
      </w:pPr>
      <w:r>
        <w:t>Hankija võib kontrollida kaasatud pakkuja kvalifikatsiooni vastavust esitatud kvalifitseerimise tingimustele enne hankelepingu tingimuste üle läbirääkimiste alustamist.</w:t>
      </w:r>
    </w:p>
    <w:p w14:paraId="6C371B3C" w14:textId="77777777" w:rsidR="00E57808" w:rsidRDefault="00E57808" w:rsidP="00E57808">
      <w:pPr>
        <w:jc w:val="both"/>
      </w:pPr>
    </w:p>
    <w:p w14:paraId="191CB387" w14:textId="77777777" w:rsidR="00E57808" w:rsidRPr="00F2727A" w:rsidRDefault="00E57808" w:rsidP="00E57808">
      <w:pPr>
        <w:pStyle w:val="Pealkiri2"/>
        <w:keepLines w:val="0"/>
        <w:numPr>
          <w:ilvl w:val="0"/>
          <w:numId w:val="1"/>
        </w:numPr>
        <w:suppressAutoHyphens/>
        <w:spacing w:before="0" w:after="0"/>
        <w:jc w:val="both"/>
        <w:rPr>
          <w:rFonts w:ascii="Times New Roman" w:hAnsi="Times New Roman" w:cs="Times New Roman"/>
          <w:b/>
          <w:bCs/>
          <w:color w:val="auto"/>
          <w:sz w:val="24"/>
          <w:szCs w:val="24"/>
        </w:rPr>
      </w:pPr>
      <w:r w:rsidRPr="00F2727A">
        <w:rPr>
          <w:rFonts w:ascii="Times New Roman" w:hAnsi="Times New Roman" w:cs="Times New Roman"/>
          <w:b/>
          <w:bCs/>
          <w:color w:val="auto"/>
          <w:sz w:val="24"/>
          <w:szCs w:val="24"/>
        </w:rPr>
        <w:t>Nõuded pakkumusele, pakkumuse vastavaks tunnistamine</w:t>
      </w:r>
    </w:p>
    <w:p w14:paraId="7D1FF6B7" w14:textId="77777777" w:rsidR="00E57808" w:rsidRPr="00BB0E89" w:rsidRDefault="00E57808" w:rsidP="00E57808">
      <w:pPr>
        <w:numPr>
          <w:ilvl w:val="1"/>
          <w:numId w:val="1"/>
        </w:numPr>
        <w:jc w:val="both"/>
      </w:pPr>
      <w:r w:rsidRPr="00BB0E89">
        <w:t xml:space="preserve">Hankes sätestatud pakkumuse vastavustingimused on esitatud </w:t>
      </w:r>
      <w:proofErr w:type="spellStart"/>
      <w:r w:rsidRPr="00BB0E89">
        <w:t>eRHRs</w:t>
      </w:r>
      <w:proofErr w:type="spellEnd"/>
      <w:r w:rsidRPr="00BB0E89">
        <w:t xml:space="preserve"> vastavustingimuste</w:t>
      </w:r>
      <w:r>
        <w:t xml:space="preserve"> jaotises</w:t>
      </w:r>
      <w:r w:rsidRPr="00BB0E89">
        <w:t>.</w:t>
      </w:r>
    </w:p>
    <w:p w14:paraId="4E48BEEB" w14:textId="77777777" w:rsidR="00E57808" w:rsidRPr="00BB0E89" w:rsidRDefault="00E57808" w:rsidP="00E57808">
      <w:pPr>
        <w:numPr>
          <w:ilvl w:val="1"/>
          <w:numId w:val="1"/>
        </w:numPr>
        <w:jc w:val="both"/>
      </w:pPr>
      <w:r w:rsidRPr="00BB0E89">
        <w:t xml:space="preserve">Hankija tunnistab pakkumuse vastavaks, kui see vastab </w:t>
      </w:r>
      <w:proofErr w:type="spellStart"/>
      <w:r>
        <w:t>RHAD</w:t>
      </w:r>
      <w:r w:rsidRPr="00BB0E89">
        <w:t>s</w:t>
      </w:r>
      <w:proofErr w:type="spellEnd"/>
      <w:r w:rsidRPr="00BB0E89">
        <w:t xml:space="preserve"> esitatud </w:t>
      </w:r>
      <w:r>
        <w:t>nõuetele ja vajadusel peetud läbirääkimiste tingimuste</w:t>
      </w:r>
      <w:r w:rsidRPr="00BB0E89">
        <w:t xml:space="preserve">. Hankija võib tunnistada pakkumuse vastavaks, kui selles ei esine sisulisi kõrvalekaldeid </w:t>
      </w:r>
      <w:proofErr w:type="spellStart"/>
      <w:r>
        <w:t>RHAD</w:t>
      </w:r>
      <w:r w:rsidRPr="00BB0E89">
        <w:t>s</w:t>
      </w:r>
      <w:proofErr w:type="spellEnd"/>
      <w:r w:rsidRPr="00BB0E89">
        <w:t xml:space="preserve"> nimetatud tingimustest. </w:t>
      </w:r>
    </w:p>
    <w:p w14:paraId="57D121B3" w14:textId="77777777" w:rsidR="00E57808" w:rsidRPr="00DF6CF7" w:rsidRDefault="00E57808" w:rsidP="00E57808">
      <w:pPr>
        <w:numPr>
          <w:ilvl w:val="1"/>
          <w:numId w:val="1"/>
        </w:numPr>
        <w:ind w:left="360"/>
        <w:jc w:val="both"/>
        <w:rPr>
          <w:iCs/>
        </w:rPr>
      </w:pPr>
      <w:r w:rsidRPr="00BB0E89">
        <w:t xml:space="preserve">Kui pakkuja pole tõendanud, et pakkumus vastab </w:t>
      </w:r>
      <w:proofErr w:type="spellStart"/>
      <w:r>
        <w:t>R</w:t>
      </w:r>
      <w:r w:rsidRPr="00BB0E89">
        <w:t>H</w:t>
      </w:r>
      <w:r>
        <w:t>A</w:t>
      </w:r>
      <w:r w:rsidRPr="00BB0E89">
        <w:t>Ds</w:t>
      </w:r>
      <w:proofErr w:type="spellEnd"/>
      <w:r w:rsidRPr="00BB0E89">
        <w:t xml:space="preserve"> nõutule või samaväärsus jääb selgitamata või tõendid samaväärsuse kohta lisamata, lükkab hankija pakkumuse tagasi kui mittevastava.</w:t>
      </w:r>
    </w:p>
    <w:p w14:paraId="0D06B230" w14:textId="77777777" w:rsidR="00E57808" w:rsidRDefault="00E57808" w:rsidP="00E57808">
      <w:pPr>
        <w:ind w:left="360"/>
        <w:jc w:val="both"/>
        <w:rPr>
          <w:iCs/>
        </w:rPr>
      </w:pPr>
    </w:p>
    <w:p w14:paraId="54EE8CF7" w14:textId="77777777" w:rsidR="00E57808" w:rsidRPr="00DF6CF7" w:rsidRDefault="00E57808" w:rsidP="00E57808">
      <w:pPr>
        <w:numPr>
          <w:ilvl w:val="0"/>
          <w:numId w:val="1"/>
        </w:numPr>
        <w:jc w:val="both"/>
        <w:rPr>
          <w:iCs/>
        </w:rPr>
      </w:pPr>
      <w:r w:rsidRPr="00DF6CF7">
        <w:rPr>
          <w:b/>
          <w:bCs/>
          <w:lang w:eastAsia="ar-SA"/>
        </w:rPr>
        <w:t>Läbirääkimiste pidamine</w:t>
      </w:r>
    </w:p>
    <w:p w14:paraId="5EA2BC0A" w14:textId="77777777" w:rsidR="00E57808" w:rsidRPr="00DF6CF7" w:rsidRDefault="00E57808" w:rsidP="00E57808">
      <w:pPr>
        <w:numPr>
          <w:ilvl w:val="1"/>
          <w:numId w:val="1"/>
        </w:numPr>
        <w:jc w:val="both"/>
        <w:rPr>
          <w:iCs/>
        </w:rPr>
      </w:pPr>
      <w:r>
        <w:rPr>
          <w:lang w:eastAsia="en-US"/>
        </w:rPr>
        <w:t xml:space="preserve">Hankija äranägemisel peetakse kaasatud pakkujaga läbirääkimisi peale pakkumuse esitamise tähtaja saabumist ja pakkumuse avamist. Hankija võib loobuda läbirääkimiste pidamisest, kui esitatud pakkumus on hankija hinnangul hankijale sobiv. </w:t>
      </w:r>
    </w:p>
    <w:p w14:paraId="2414C372" w14:textId="77777777" w:rsidR="00E57808" w:rsidRPr="00DF6CF7" w:rsidRDefault="00E57808" w:rsidP="00E57808">
      <w:pPr>
        <w:numPr>
          <w:ilvl w:val="1"/>
          <w:numId w:val="1"/>
        </w:numPr>
        <w:jc w:val="both"/>
        <w:rPr>
          <w:iCs/>
        </w:rPr>
      </w:pPr>
      <w:r>
        <w:rPr>
          <w:lang w:eastAsia="en-US"/>
        </w:rPr>
        <w:t>Läbirääkimisi võib pidada  kõikide hankelepingu tingimuste üle.</w:t>
      </w:r>
    </w:p>
    <w:p w14:paraId="4B9AB0E6" w14:textId="77777777" w:rsidR="00E57808" w:rsidRPr="00F85B54" w:rsidRDefault="00E57808" w:rsidP="00E57808">
      <w:pPr>
        <w:numPr>
          <w:ilvl w:val="1"/>
          <w:numId w:val="1"/>
        </w:numPr>
        <w:jc w:val="both"/>
        <w:rPr>
          <w:iCs/>
        </w:rPr>
      </w:pPr>
      <w:r>
        <w:rPr>
          <w:lang w:eastAsia="en-US"/>
        </w:rPr>
        <w:t xml:space="preserve">Läbirääkimisi peetakse elektrooniliselt läbi </w:t>
      </w:r>
      <w:proofErr w:type="spellStart"/>
      <w:r>
        <w:rPr>
          <w:lang w:eastAsia="en-US"/>
        </w:rPr>
        <w:t>eRHR</w:t>
      </w:r>
      <w:proofErr w:type="spellEnd"/>
      <w:r>
        <w:rPr>
          <w:lang w:eastAsia="en-US"/>
        </w:rPr>
        <w:t>-i, kui hankija ei otsusta pidada läbirääkimisi teisiti (kirjalikult, koosolekutel vm).</w:t>
      </w:r>
    </w:p>
    <w:p w14:paraId="08814226" w14:textId="77777777" w:rsidR="00E57808" w:rsidRPr="00F85B54" w:rsidRDefault="00E57808" w:rsidP="00E57808">
      <w:pPr>
        <w:ind w:left="420"/>
        <w:jc w:val="both"/>
        <w:rPr>
          <w:iCs/>
        </w:rPr>
      </w:pPr>
    </w:p>
    <w:p w14:paraId="61D35011" w14:textId="77777777" w:rsidR="00E57808" w:rsidRPr="00F85B54" w:rsidRDefault="00E57808" w:rsidP="00E57808">
      <w:pPr>
        <w:numPr>
          <w:ilvl w:val="0"/>
          <w:numId w:val="1"/>
        </w:numPr>
        <w:jc w:val="both"/>
        <w:rPr>
          <w:b/>
          <w:bCs/>
          <w:iCs/>
        </w:rPr>
      </w:pPr>
      <w:r w:rsidRPr="00F85B54">
        <w:rPr>
          <w:b/>
          <w:bCs/>
          <w:lang w:eastAsia="en-US"/>
        </w:rPr>
        <w:t>Hankelepingu sõlmimise tingimused</w:t>
      </w:r>
    </w:p>
    <w:p w14:paraId="02B39916" w14:textId="77777777" w:rsidR="00E57808" w:rsidRPr="00DF6CF7" w:rsidRDefault="00E57808" w:rsidP="00E57808">
      <w:pPr>
        <w:numPr>
          <w:ilvl w:val="1"/>
          <w:numId w:val="1"/>
        </w:numPr>
        <w:jc w:val="both"/>
        <w:rPr>
          <w:iCs/>
        </w:rPr>
      </w:pPr>
      <w:r>
        <w:rPr>
          <w:lang w:eastAsia="en-US"/>
        </w:rPr>
        <w:t xml:space="preserve">Hanke läbiviimise tulemusena sõlmitakse edukaks tunnistatud pakkujaga hankeleping. </w:t>
      </w:r>
      <w:r w:rsidRPr="00D67A0C">
        <w:t>Hankija</w:t>
      </w:r>
      <w:r w:rsidRPr="00183716">
        <w:t xml:space="preserve"> soovib </w:t>
      </w:r>
      <w:r>
        <w:t>hankel</w:t>
      </w:r>
      <w:r w:rsidRPr="00183716">
        <w:t>epingu sõlmida mõis</w:t>
      </w:r>
      <w:r>
        <w:t>t</w:t>
      </w:r>
      <w:r w:rsidRPr="00183716">
        <w:t xml:space="preserve">likul esimesel võimalusel peale hankemenetluses lepingu sõlmimise võimaluse tekkimist ning </w:t>
      </w:r>
      <w:r>
        <w:t xml:space="preserve">edukas </w:t>
      </w:r>
      <w:r w:rsidRPr="00183716">
        <w:t>pakkuja kohustub lepingu allkirjastama koheselt peale hankijalt vastavasisulise ettepaneku saamist</w:t>
      </w:r>
      <w:r>
        <w:t>.</w:t>
      </w:r>
    </w:p>
    <w:p w14:paraId="3F048C9A" w14:textId="77777777" w:rsidR="00E57808" w:rsidRPr="00AF5711" w:rsidRDefault="00E57808" w:rsidP="00E57808">
      <w:pPr>
        <w:numPr>
          <w:ilvl w:val="1"/>
          <w:numId w:val="1"/>
        </w:numPr>
        <w:jc w:val="both"/>
        <w:rPr>
          <w:iCs/>
        </w:rPr>
      </w:pPr>
      <w:r w:rsidRPr="00BB0E89">
        <w:rPr>
          <w:lang w:eastAsia="en-US"/>
        </w:rPr>
        <w:t xml:space="preserve">Hankelepinguga ei võrdsustata edukaks tunnistatud pakkumust või pakkumuse edukaks tunnistamise otsust ei eraldi ega koos, vaid hanke tulemusel sõlmitakse RHAD </w:t>
      </w:r>
      <w:r w:rsidRPr="00DF6CF7">
        <w:rPr>
          <w:lang w:eastAsia="en-US"/>
        </w:rPr>
        <w:t xml:space="preserve">lisa </w:t>
      </w:r>
      <w:r>
        <w:rPr>
          <w:lang w:eastAsia="en-US"/>
        </w:rPr>
        <w:t>1</w:t>
      </w:r>
      <w:r w:rsidRPr="00BB0E89">
        <w:rPr>
          <w:lang w:eastAsia="en-US"/>
        </w:rPr>
        <w:t xml:space="preserve"> kohane hankeleping. </w:t>
      </w:r>
    </w:p>
    <w:p w14:paraId="2C92BED9" w14:textId="77777777" w:rsidR="00E57808" w:rsidRPr="00CE5B4F" w:rsidRDefault="00E57808" w:rsidP="00E57808">
      <w:pPr>
        <w:ind w:left="420"/>
        <w:jc w:val="both"/>
        <w:rPr>
          <w:iCs/>
        </w:rPr>
      </w:pPr>
    </w:p>
    <w:p w14:paraId="14B05F94" w14:textId="77777777" w:rsidR="00E57808" w:rsidRDefault="00E57808" w:rsidP="00E57808">
      <w:pPr>
        <w:numPr>
          <w:ilvl w:val="0"/>
          <w:numId w:val="1"/>
        </w:numPr>
        <w:jc w:val="both"/>
        <w:rPr>
          <w:b/>
          <w:bCs/>
          <w:iCs/>
        </w:rPr>
      </w:pPr>
      <w:r w:rsidRPr="001271D1">
        <w:rPr>
          <w:b/>
          <w:bCs/>
        </w:rPr>
        <w:t>Pakkumuse hindamiskriteeriumid, pakkumuse hindamine ja pakkumuse edukaks tunnistamine</w:t>
      </w:r>
    </w:p>
    <w:p w14:paraId="4D4F74F3" w14:textId="77777777" w:rsidR="00E57808" w:rsidRPr="001271D1" w:rsidRDefault="00E57808" w:rsidP="00E57808">
      <w:pPr>
        <w:numPr>
          <w:ilvl w:val="1"/>
          <w:numId w:val="1"/>
        </w:numPr>
        <w:jc w:val="both"/>
        <w:rPr>
          <w:b/>
          <w:bCs/>
          <w:iCs/>
        </w:rPr>
      </w:pPr>
      <w:r>
        <w:t xml:space="preserve">Hanketingimustele vastav </w:t>
      </w:r>
      <w:r w:rsidRPr="00BB0E89">
        <w:t>pakkumus</w:t>
      </w:r>
      <w:r>
        <w:t xml:space="preserve">t hinnatakse ja tunnistatakse vastavalt </w:t>
      </w:r>
      <w:proofErr w:type="spellStart"/>
      <w:r>
        <w:t>RHAD</w:t>
      </w:r>
      <w:r w:rsidRPr="00BB0E89">
        <w:t>s</w:t>
      </w:r>
      <w:proofErr w:type="spellEnd"/>
      <w:r w:rsidRPr="00BB0E89">
        <w:t xml:space="preserve"> toodud hindamiskriteeriumid</w:t>
      </w:r>
      <w:r>
        <w:t>es ja -</w:t>
      </w:r>
      <w:r w:rsidRPr="00BB0E89">
        <w:t>metoodikas kirjeldatule</w:t>
      </w:r>
      <w:r>
        <w:t xml:space="preserve"> edukaks</w:t>
      </w:r>
      <w:r w:rsidRPr="00BB0E89">
        <w:t>.</w:t>
      </w:r>
    </w:p>
    <w:p w14:paraId="7C46735A" w14:textId="77777777" w:rsidR="00E57808" w:rsidRDefault="00E57808" w:rsidP="00E57808">
      <w:pPr>
        <w:ind w:left="420"/>
        <w:jc w:val="both"/>
        <w:rPr>
          <w:b/>
          <w:bCs/>
          <w:iCs/>
        </w:rPr>
      </w:pPr>
    </w:p>
    <w:p w14:paraId="35C4452C" w14:textId="77777777" w:rsidR="00E57808" w:rsidRDefault="00E57808" w:rsidP="00E57808">
      <w:pPr>
        <w:numPr>
          <w:ilvl w:val="0"/>
          <w:numId w:val="1"/>
        </w:numPr>
        <w:jc w:val="both"/>
        <w:rPr>
          <w:b/>
          <w:bCs/>
          <w:iCs/>
        </w:rPr>
      </w:pPr>
      <w:r w:rsidRPr="001271D1">
        <w:rPr>
          <w:b/>
          <w:bCs/>
        </w:rPr>
        <w:t>Pakkumuse tagasilükkamise alused</w:t>
      </w:r>
    </w:p>
    <w:p w14:paraId="459E7E07" w14:textId="77777777" w:rsidR="00E57808" w:rsidRPr="001271D1" w:rsidRDefault="00E57808" w:rsidP="00E57808">
      <w:pPr>
        <w:jc w:val="both"/>
        <w:rPr>
          <w:b/>
          <w:bCs/>
          <w:iCs/>
        </w:rPr>
      </w:pPr>
      <w:r w:rsidRPr="0036721B">
        <w:lastRenderedPageBreak/>
        <w:t xml:space="preserve">Hankija jätab endale võimaluse </w:t>
      </w:r>
      <w:r>
        <w:t>pakkumuse</w:t>
      </w:r>
      <w:r w:rsidRPr="0036721B">
        <w:t xml:space="preserve"> tagasi lükata, kui:</w:t>
      </w:r>
    </w:p>
    <w:p w14:paraId="6C55B299" w14:textId="77777777" w:rsidR="00E57808" w:rsidRPr="001271D1" w:rsidRDefault="00E57808" w:rsidP="00E57808">
      <w:pPr>
        <w:numPr>
          <w:ilvl w:val="1"/>
          <w:numId w:val="1"/>
        </w:numPr>
        <w:jc w:val="both"/>
        <w:rPr>
          <w:b/>
          <w:bCs/>
          <w:iCs/>
        </w:rPr>
      </w:pPr>
      <w:r w:rsidRPr="0036721B">
        <w:t>pak</w:t>
      </w:r>
      <w:r>
        <w:t>kumuse maksumus ületab hankel</w:t>
      </w:r>
      <w:r w:rsidRPr="0036721B">
        <w:t xml:space="preserve">epingu eeldatavat maksumust või kui </w:t>
      </w:r>
      <w:r>
        <w:t>see</w:t>
      </w:r>
      <w:r w:rsidRPr="0036721B">
        <w:t xml:space="preserve"> on hankija jaoks</w:t>
      </w:r>
      <w:r>
        <w:t xml:space="preserve"> muul moel ebamõistlikult kallis</w:t>
      </w:r>
      <w:r w:rsidRPr="0036721B">
        <w:t>.</w:t>
      </w:r>
    </w:p>
    <w:p w14:paraId="2EB1928A" w14:textId="77777777" w:rsidR="00E57808" w:rsidRPr="001271D1" w:rsidRDefault="00E57808" w:rsidP="00E57808">
      <w:pPr>
        <w:numPr>
          <w:ilvl w:val="1"/>
          <w:numId w:val="1"/>
        </w:numPr>
        <w:jc w:val="both"/>
        <w:rPr>
          <w:b/>
          <w:bCs/>
          <w:iCs/>
        </w:rPr>
      </w:pPr>
      <w:r w:rsidRPr="0036721B">
        <w:t>kui hankemenetluse toimumise ajal on hankijale saanud teatavaks andmed, mis välistavad või muudavad hankija jaoks ebaotstarbekaks hankemenetluse</w:t>
      </w:r>
      <w:r w:rsidRPr="00E610F9">
        <w:t xml:space="preserve"> lõpuleviimise hankedokumentid</w:t>
      </w:r>
      <w:r>
        <w:t>es esitatud tingimustel või hankel</w:t>
      </w:r>
      <w:r w:rsidRPr="00E610F9">
        <w:t>epingu sõlmimine etteantud ja hankemenetluse käigus väljaselgitatud tingimustel ei vastaks muutunud asjaolude tõttu hankija varasematele vajadustele või ootustele.</w:t>
      </w:r>
    </w:p>
    <w:p w14:paraId="6D4F94D1" w14:textId="77777777" w:rsidR="00E57808" w:rsidRPr="005329D3" w:rsidRDefault="00E57808" w:rsidP="00E57808">
      <w:pPr>
        <w:numPr>
          <w:ilvl w:val="1"/>
          <w:numId w:val="1"/>
        </w:numPr>
        <w:jc w:val="both"/>
        <w:rPr>
          <w:b/>
          <w:bCs/>
          <w:iCs/>
        </w:rPr>
      </w:pPr>
      <w:r w:rsidRPr="00E610F9">
        <w:t>kui langeb ära vajadus teenuse tellimise järele põhjusel, mis ei sõltu hankijast või põhjusel, mis sõltub või tuleneb seadusandluse muutumisest, kõrgemalseisvate asutuste haldusaktidest ja toimingutest või RMK nõukogu poolt arengukava muutmisest.</w:t>
      </w:r>
    </w:p>
    <w:p w14:paraId="7F8F4F5C" w14:textId="2DED266A" w:rsidR="005329D3" w:rsidRPr="005329D3" w:rsidRDefault="005329D3" w:rsidP="005329D3">
      <w:pPr>
        <w:pStyle w:val="Loendilik"/>
        <w:ind w:left="360"/>
        <w:jc w:val="both"/>
        <w:rPr>
          <w:b/>
          <w:bCs/>
          <w:iCs/>
        </w:rPr>
      </w:pPr>
    </w:p>
    <w:p w14:paraId="210D0A37" w14:textId="77777777" w:rsidR="00E57808" w:rsidRDefault="00E57808" w:rsidP="00E57808">
      <w:pPr>
        <w:ind w:left="420"/>
        <w:jc w:val="both"/>
        <w:rPr>
          <w:b/>
          <w:bCs/>
          <w:iCs/>
        </w:rPr>
      </w:pPr>
    </w:p>
    <w:p w14:paraId="0C4DB63A" w14:textId="77777777" w:rsidR="00E57808" w:rsidRPr="00985042" w:rsidRDefault="00E57808" w:rsidP="00E57808">
      <w:pPr>
        <w:numPr>
          <w:ilvl w:val="0"/>
          <w:numId w:val="1"/>
        </w:numPr>
        <w:jc w:val="both"/>
        <w:rPr>
          <w:b/>
          <w:bCs/>
          <w:iCs/>
        </w:rPr>
      </w:pPr>
      <w:r w:rsidRPr="00985042">
        <w:rPr>
          <w:b/>
          <w:bCs/>
          <w:lang w:eastAsia="ar-SA"/>
        </w:rPr>
        <w:t>Hanke alusdokumentide loetelu</w:t>
      </w:r>
    </w:p>
    <w:p w14:paraId="1C54852C" w14:textId="77777777" w:rsidR="00E57808" w:rsidRPr="00BB0E89" w:rsidRDefault="00E57808" w:rsidP="00E57808">
      <w:pPr>
        <w:suppressAutoHyphens/>
        <w:autoSpaceDE w:val="0"/>
        <w:autoSpaceDN w:val="0"/>
        <w:adjustRightInd w:val="0"/>
        <w:jc w:val="both"/>
      </w:pPr>
      <w:r w:rsidRPr="00BB0E89">
        <w:t xml:space="preserve">Riigihanke alusdokumendid koosnevad </w:t>
      </w:r>
      <w:r w:rsidRPr="00BB0E89">
        <w:rPr>
          <w:lang w:eastAsia="ar-SA"/>
        </w:rPr>
        <w:t>käesolevast põhitekstist</w:t>
      </w:r>
      <w:r w:rsidRPr="00BB0E89">
        <w:t xml:space="preserve"> koos lisadega ning kõigist </w:t>
      </w:r>
      <w:proofErr w:type="spellStart"/>
      <w:r w:rsidRPr="00BB0E89">
        <w:t>eRHRis</w:t>
      </w:r>
      <w:proofErr w:type="spellEnd"/>
      <w:r w:rsidRPr="00BB0E89">
        <w:t xml:space="preserve"> käesoleva hanke raames </w:t>
      </w:r>
      <w:r>
        <w:t xml:space="preserve">pakkujale </w:t>
      </w:r>
      <w:r w:rsidRPr="00BB0E89">
        <w:t xml:space="preserve">avaldatud ja viidatud dokumentidest: </w:t>
      </w:r>
    </w:p>
    <w:p w14:paraId="7185A201" w14:textId="4C9670EB" w:rsidR="00E57808" w:rsidRDefault="00E57808" w:rsidP="00E57808">
      <w:pPr>
        <w:suppressAutoHyphens/>
        <w:contextualSpacing/>
        <w:jc w:val="both"/>
        <w:rPr>
          <w:lang w:eastAsia="ar-SA"/>
        </w:rPr>
      </w:pPr>
      <w:r>
        <w:rPr>
          <w:lang w:eastAsia="ar-SA"/>
        </w:rPr>
        <w:t>8.1.</w:t>
      </w:r>
      <w:r w:rsidRPr="00BB0E89">
        <w:rPr>
          <w:lang w:eastAsia="ar-SA"/>
        </w:rPr>
        <w:t xml:space="preserve"> Lisa 1 – </w:t>
      </w:r>
      <w:r w:rsidR="003846D1" w:rsidRPr="003846D1">
        <w:rPr>
          <w:lang w:eastAsia="ar-SA"/>
        </w:rPr>
        <w:t xml:space="preserve">Hinnapakkumuse vorm </w:t>
      </w:r>
    </w:p>
    <w:p w14:paraId="2EA4E2F8" w14:textId="351D1FFC" w:rsidR="00E57808" w:rsidRDefault="00E57808" w:rsidP="00E57808">
      <w:pPr>
        <w:suppressAutoHyphens/>
        <w:contextualSpacing/>
        <w:jc w:val="both"/>
        <w:rPr>
          <w:lang w:eastAsia="ar-SA"/>
        </w:rPr>
      </w:pPr>
      <w:r>
        <w:rPr>
          <w:lang w:eastAsia="ar-SA"/>
        </w:rPr>
        <w:t xml:space="preserve">8.2. Lisa 2 – </w:t>
      </w:r>
      <w:r w:rsidR="003846D1" w:rsidRPr="003846D1">
        <w:rPr>
          <w:lang w:eastAsia="ar-SA"/>
        </w:rPr>
        <w:t>Hankelepingu projekt</w:t>
      </w:r>
    </w:p>
    <w:p w14:paraId="05E1700B" w14:textId="77777777" w:rsidR="00E73659" w:rsidRDefault="00E73659"/>
    <w:sectPr w:rsidR="00E73659" w:rsidSect="00E5780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0BCA2" w14:textId="77777777" w:rsidR="00C2727C" w:rsidRDefault="00C2727C" w:rsidP="00E57808">
      <w:r>
        <w:separator/>
      </w:r>
    </w:p>
  </w:endnote>
  <w:endnote w:type="continuationSeparator" w:id="0">
    <w:p w14:paraId="54C679FE" w14:textId="77777777" w:rsidR="00C2727C" w:rsidRDefault="00C2727C" w:rsidP="00E57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85A09" w14:textId="77777777" w:rsidR="00C2727C" w:rsidRDefault="00C2727C" w:rsidP="00E57808">
      <w:r>
        <w:separator/>
      </w:r>
    </w:p>
  </w:footnote>
  <w:footnote w:type="continuationSeparator" w:id="0">
    <w:p w14:paraId="21DF9B7F" w14:textId="77777777" w:rsidR="00C2727C" w:rsidRDefault="00C2727C" w:rsidP="00E57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40533E"/>
    <w:multiLevelType w:val="multilevel"/>
    <w:tmpl w:val="F4D2A11E"/>
    <w:lvl w:ilvl="0">
      <w:start w:val="1"/>
      <w:numFmt w:val="decimal"/>
      <w:lvlText w:val="%1."/>
      <w:lvlJc w:val="left"/>
      <w:pPr>
        <w:ind w:left="360" w:hanging="360"/>
      </w:pPr>
      <w:rPr>
        <w:rFonts w:hint="default"/>
        <w:i w:val="0"/>
        <w:iCs w:val="0"/>
        <w:color w:val="auto"/>
      </w:rPr>
    </w:lvl>
    <w:lvl w:ilvl="1">
      <w:start w:val="1"/>
      <w:numFmt w:val="decimal"/>
      <w:isLgl/>
      <w:lvlText w:val="%1.%2."/>
      <w:lvlJc w:val="left"/>
      <w:pPr>
        <w:ind w:left="420" w:hanging="420"/>
      </w:pPr>
      <w:rPr>
        <w:rFonts w:ascii="Times New Roman" w:hAnsi="Times New Roman" w:cs="Times New Roman" w:hint="default"/>
        <w:b w:val="0"/>
        <w:i w:val="0"/>
        <w:sz w:val="24"/>
        <w:szCs w:val="24"/>
        <w:u w:val="none"/>
      </w:rPr>
    </w:lvl>
    <w:lvl w:ilvl="2">
      <w:start w:val="1"/>
      <w:numFmt w:val="decimal"/>
      <w:isLgl/>
      <w:lvlText w:val="%1.%2.%3."/>
      <w:lvlJc w:val="left"/>
      <w:pPr>
        <w:ind w:left="1080" w:hanging="720"/>
      </w:pPr>
      <w:rPr>
        <w:rFonts w:ascii="Times New Roman" w:hAnsi="Times New Roman" w:cs="Times New Roman" w:hint="default"/>
        <w:b w:val="0"/>
        <w:i w:val="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CC416F7"/>
    <w:multiLevelType w:val="multilevel"/>
    <w:tmpl w:val="ECB47148"/>
    <w:lvl w:ilvl="0">
      <w:start w:val="3"/>
      <w:numFmt w:val="decimal"/>
      <w:lvlText w:val="%1."/>
      <w:lvlJc w:val="left"/>
      <w:pPr>
        <w:ind w:left="480" w:hanging="480"/>
      </w:pPr>
    </w:lvl>
    <w:lvl w:ilvl="1">
      <w:start w:val="1"/>
      <w:numFmt w:val="decimal"/>
      <w:lvlText w:val="%1.%2."/>
      <w:lvlJc w:val="left"/>
      <w:pPr>
        <w:ind w:left="480" w:hanging="480"/>
      </w:pPr>
      <w:rPr>
        <w:b w:val="0"/>
      </w:rPr>
    </w:lvl>
    <w:lvl w:ilvl="2">
      <w:start w:val="1"/>
      <w:numFmt w:val="decimal"/>
      <w:lvlText w:val="%1.%2.%3."/>
      <w:lvlJc w:val="left"/>
      <w:pPr>
        <w:ind w:left="720" w:hanging="720"/>
      </w:pPr>
    </w:lvl>
    <w:lvl w:ilvl="3">
      <w:start w:val="1"/>
      <w:numFmt w:val="decimal"/>
      <w:lvlText w:val="%1.%2.%3.%4."/>
      <w:lvlJc w:val="left"/>
      <w:pPr>
        <w:ind w:left="1288" w:hanging="720"/>
      </w:pPr>
    </w:lvl>
    <w:lvl w:ilvl="4">
      <w:start w:val="1"/>
      <w:numFmt w:val="decimal"/>
      <w:lvlText w:val="%1.%2.%3.%4.%5."/>
      <w:lvlJc w:val="left"/>
      <w:pPr>
        <w:ind w:left="2498"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522889152">
    <w:abstractNumId w:val="0"/>
  </w:num>
  <w:num w:numId="2" w16cid:durableId="171600680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808"/>
    <w:rsid w:val="000522C2"/>
    <w:rsid w:val="000A0EF9"/>
    <w:rsid w:val="000D6341"/>
    <w:rsid w:val="001256D3"/>
    <w:rsid w:val="001A022A"/>
    <w:rsid w:val="001F3E01"/>
    <w:rsid w:val="0036293D"/>
    <w:rsid w:val="003846D1"/>
    <w:rsid w:val="005329D3"/>
    <w:rsid w:val="005A4D8D"/>
    <w:rsid w:val="005B4AF3"/>
    <w:rsid w:val="005F7A88"/>
    <w:rsid w:val="007A1C96"/>
    <w:rsid w:val="0080065D"/>
    <w:rsid w:val="00901922"/>
    <w:rsid w:val="00993CE6"/>
    <w:rsid w:val="00A53052"/>
    <w:rsid w:val="00AD6A22"/>
    <w:rsid w:val="00B32A2A"/>
    <w:rsid w:val="00C2727C"/>
    <w:rsid w:val="00D972AB"/>
    <w:rsid w:val="00E57808"/>
    <w:rsid w:val="00E73659"/>
    <w:rsid w:val="00F272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CE2D2"/>
  <w15:chartTrackingRefBased/>
  <w15:docId w15:val="{33815102-7AB5-491E-819F-7B3A79FF1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57808"/>
    <w:pPr>
      <w:spacing w:after="0" w:line="240" w:lineRule="auto"/>
    </w:pPr>
    <w:rPr>
      <w:rFonts w:ascii="Times New Roman" w:eastAsia="Times New Roman" w:hAnsi="Times New Roman" w:cs="Times New Roman"/>
      <w:kern w:val="0"/>
      <w:sz w:val="24"/>
      <w:szCs w:val="24"/>
      <w:lang w:eastAsia="et-EE"/>
      <w14:ligatures w14:val="none"/>
    </w:rPr>
  </w:style>
  <w:style w:type="paragraph" w:styleId="Pealkiri1">
    <w:name w:val="heading 1"/>
    <w:basedOn w:val="Normaallaad"/>
    <w:next w:val="Normaallaad"/>
    <w:link w:val="Pealkiri1Mrk"/>
    <w:uiPriority w:val="9"/>
    <w:qFormat/>
    <w:rsid w:val="00E5780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nhideWhenUsed/>
    <w:qFormat/>
    <w:rsid w:val="00E5780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57808"/>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57808"/>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57808"/>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57808"/>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57808"/>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57808"/>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57808"/>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57808"/>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57808"/>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57808"/>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57808"/>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57808"/>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5780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5780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5780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5780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57808"/>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5780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5780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5780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57808"/>
    <w:pPr>
      <w:spacing w:before="160"/>
      <w:jc w:val="center"/>
    </w:pPr>
    <w:rPr>
      <w:i/>
      <w:iCs/>
      <w:color w:val="404040" w:themeColor="text1" w:themeTint="BF"/>
    </w:rPr>
  </w:style>
  <w:style w:type="character" w:customStyle="1" w:styleId="TsitaatMrk">
    <w:name w:val="Tsitaat Märk"/>
    <w:basedOn w:val="Liguvaikefont"/>
    <w:link w:val="Tsitaat"/>
    <w:uiPriority w:val="29"/>
    <w:rsid w:val="00E57808"/>
    <w:rPr>
      <w:i/>
      <w:iCs/>
      <w:color w:val="404040" w:themeColor="text1" w:themeTint="BF"/>
    </w:rPr>
  </w:style>
  <w:style w:type="paragraph" w:styleId="Loendilik">
    <w:name w:val="List Paragraph"/>
    <w:aliases w:val="Mummuga loetelu,List (bullet),List Paragraph1,Loendi l›ik"/>
    <w:basedOn w:val="Normaallaad"/>
    <w:link w:val="LoendilikMrk"/>
    <w:uiPriority w:val="34"/>
    <w:qFormat/>
    <w:rsid w:val="00E57808"/>
    <w:pPr>
      <w:ind w:left="720"/>
      <w:contextualSpacing/>
    </w:pPr>
  </w:style>
  <w:style w:type="character" w:styleId="Selgeltmrgatavrhutus">
    <w:name w:val="Intense Emphasis"/>
    <w:basedOn w:val="Liguvaikefont"/>
    <w:uiPriority w:val="21"/>
    <w:qFormat/>
    <w:rsid w:val="00E57808"/>
    <w:rPr>
      <w:i/>
      <w:iCs/>
      <w:color w:val="2E74B5" w:themeColor="accent1" w:themeShade="BF"/>
    </w:rPr>
  </w:style>
  <w:style w:type="paragraph" w:styleId="Selgeltmrgatavtsitaat">
    <w:name w:val="Intense Quote"/>
    <w:basedOn w:val="Normaallaad"/>
    <w:next w:val="Normaallaad"/>
    <w:link w:val="SelgeltmrgatavtsitaatMrk"/>
    <w:uiPriority w:val="30"/>
    <w:qFormat/>
    <w:rsid w:val="00E5780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57808"/>
    <w:rPr>
      <w:i/>
      <w:iCs/>
      <w:color w:val="2E74B5" w:themeColor="accent1" w:themeShade="BF"/>
    </w:rPr>
  </w:style>
  <w:style w:type="character" w:styleId="Selgeltmrgatavviide">
    <w:name w:val="Intense Reference"/>
    <w:basedOn w:val="Liguvaikefont"/>
    <w:uiPriority w:val="32"/>
    <w:qFormat/>
    <w:rsid w:val="00E57808"/>
    <w:rPr>
      <w:b/>
      <w:bCs/>
      <w:smallCaps/>
      <w:color w:val="2E74B5" w:themeColor="accent1" w:themeShade="BF"/>
      <w:spacing w:val="5"/>
    </w:rPr>
  </w:style>
  <w:style w:type="paragraph" w:styleId="Pis">
    <w:name w:val="header"/>
    <w:basedOn w:val="Normaallaad"/>
    <w:link w:val="PisMrk"/>
    <w:rsid w:val="00E57808"/>
    <w:pPr>
      <w:tabs>
        <w:tab w:val="center" w:pos="4536"/>
        <w:tab w:val="right" w:pos="9072"/>
      </w:tabs>
    </w:pPr>
  </w:style>
  <w:style w:type="character" w:customStyle="1" w:styleId="PisMrk">
    <w:name w:val="Päis Märk"/>
    <w:basedOn w:val="Liguvaikefont"/>
    <w:link w:val="Pis"/>
    <w:rsid w:val="00E57808"/>
    <w:rPr>
      <w:rFonts w:ascii="Times New Roman" w:eastAsia="Times New Roman" w:hAnsi="Times New Roman" w:cs="Times New Roman"/>
      <w:kern w:val="0"/>
      <w:sz w:val="24"/>
      <w:szCs w:val="24"/>
      <w:lang w:eastAsia="et-EE"/>
      <w14:ligatures w14:val="none"/>
    </w:rPr>
  </w:style>
  <w:style w:type="character" w:customStyle="1" w:styleId="LoendilikMrk">
    <w:name w:val="Loendi lõik Märk"/>
    <w:aliases w:val="Mummuga loetelu Märk,List (bullet) Märk,List Paragraph1 Märk,Loendi l›ik Märk"/>
    <w:link w:val="Loendilik"/>
    <w:uiPriority w:val="34"/>
    <w:locked/>
    <w:rsid w:val="00E57808"/>
  </w:style>
  <w:style w:type="paragraph" w:styleId="Jalus">
    <w:name w:val="footer"/>
    <w:basedOn w:val="Normaallaad"/>
    <w:link w:val="JalusMrk"/>
    <w:uiPriority w:val="99"/>
    <w:unhideWhenUsed/>
    <w:rsid w:val="00E57808"/>
    <w:pPr>
      <w:tabs>
        <w:tab w:val="center" w:pos="4536"/>
        <w:tab w:val="right" w:pos="9072"/>
      </w:tabs>
    </w:pPr>
  </w:style>
  <w:style w:type="character" w:customStyle="1" w:styleId="JalusMrk">
    <w:name w:val="Jalus Märk"/>
    <w:basedOn w:val="Liguvaikefont"/>
    <w:link w:val="Jalus"/>
    <w:uiPriority w:val="99"/>
    <w:rsid w:val="00E57808"/>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30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1065</Words>
  <Characters>6182</Characters>
  <Application>Microsoft Office Word</Application>
  <DocSecurity>0</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15</cp:revision>
  <dcterms:created xsi:type="dcterms:W3CDTF">2025-08-14T09:58:00Z</dcterms:created>
  <dcterms:modified xsi:type="dcterms:W3CDTF">2025-08-27T06:54:00Z</dcterms:modified>
</cp:coreProperties>
</file>